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3"/>
        <w:gridCol w:w="5180"/>
      </w:tblGrid>
      <w:tr w:rsidR="00950465" w:rsidRPr="00C14841" w:rsidTr="00950465">
        <w:trPr>
          <w:jc w:val="center"/>
        </w:trPr>
        <w:tc>
          <w:tcPr>
            <w:tcW w:w="3415" w:type="dxa"/>
          </w:tcPr>
          <w:p w:rsidR="00950465" w:rsidRPr="000307BA" w:rsidRDefault="000307BA" w:rsidP="002A2B55">
            <w:pPr>
              <w:rPr>
                <w:b/>
                <w:sz w:val="20"/>
                <w:lang w:val="en-GB"/>
              </w:rPr>
            </w:pPr>
            <w:r>
              <w:rPr>
                <w:b/>
                <w:noProof/>
                <w:sz w:val="20"/>
              </w:rPr>
              <w:drawing>
                <wp:inline distT="0" distB="0" distL="0" distR="0" wp14:anchorId="7F18BD1A" wp14:editId="731B9BE8">
                  <wp:extent cx="1399592" cy="66595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887" cy="677515"/>
                          </a:xfrm>
                          <a:prstGeom prst="rect">
                            <a:avLst/>
                          </a:prstGeom>
                          <a:noFill/>
                          <a:ln>
                            <a:noFill/>
                          </a:ln>
                        </pic:spPr>
                      </pic:pic>
                    </a:graphicData>
                  </a:graphic>
                </wp:inline>
              </w:drawing>
            </w:r>
          </w:p>
        </w:tc>
        <w:tc>
          <w:tcPr>
            <w:tcW w:w="5585" w:type="dxa"/>
          </w:tcPr>
          <w:p w:rsidR="00950465" w:rsidRPr="00D60059" w:rsidRDefault="00950465" w:rsidP="002A2B55">
            <w:pPr>
              <w:jc w:val="right"/>
              <w:rPr>
                <w:b/>
                <w:sz w:val="20"/>
                <w:lang w:val="en-GB"/>
              </w:rPr>
            </w:pPr>
            <w:r w:rsidRPr="00950465">
              <w:rPr>
                <w:rFonts w:asciiTheme="minorHAnsi" w:hAnsiTheme="minorHAnsi"/>
                <w:b/>
                <w:sz w:val="20"/>
                <w:lang w:val="en-US"/>
              </w:rPr>
              <w:t>Master in Finance</w:t>
            </w:r>
          </w:p>
          <w:p w:rsidR="00950465" w:rsidRDefault="00950465" w:rsidP="002A2B55">
            <w:pPr>
              <w:jc w:val="right"/>
              <w:rPr>
                <w:b/>
                <w:sz w:val="20"/>
                <w:lang w:val="en-GB"/>
              </w:rPr>
            </w:pPr>
          </w:p>
          <w:p w:rsidR="00950465" w:rsidRDefault="00950465" w:rsidP="002A2B55">
            <w:pPr>
              <w:jc w:val="right"/>
              <w:rPr>
                <w:b/>
                <w:sz w:val="20"/>
                <w:lang w:val="en-GB"/>
              </w:rPr>
            </w:pPr>
            <w:r w:rsidRPr="00950465">
              <w:rPr>
                <w:rFonts w:asciiTheme="minorHAnsi" w:hAnsiTheme="minorHAnsi"/>
                <w:b/>
                <w:sz w:val="20"/>
                <w:lang w:val="en-US"/>
              </w:rPr>
              <w:t>Case Studies in Financial Engineering</w:t>
            </w:r>
          </w:p>
        </w:tc>
      </w:tr>
    </w:tbl>
    <w:p w:rsidR="00950465" w:rsidRDefault="00950465" w:rsidP="00950465">
      <w:pPr>
        <w:rPr>
          <w:b/>
          <w:sz w:val="20"/>
          <w:lang w:val="en-GB"/>
        </w:rPr>
      </w:pPr>
    </w:p>
    <w:p w:rsidR="00950465" w:rsidRPr="006A60B8" w:rsidRDefault="00950465" w:rsidP="003F6B43">
      <w:pPr>
        <w:pBdr>
          <w:bottom w:val="single" w:sz="4" w:space="1" w:color="auto"/>
        </w:pBdr>
        <w:jc w:val="right"/>
        <w:rPr>
          <w:rFonts w:asciiTheme="minorHAnsi" w:hAnsiTheme="minorHAnsi"/>
          <w:b/>
          <w:sz w:val="20"/>
          <w:lang w:val="en-US"/>
        </w:rPr>
      </w:pPr>
      <w:r w:rsidRPr="006A60B8">
        <w:rPr>
          <w:rFonts w:asciiTheme="minorHAnsi" w:hAnsiTheme="minorHAnsi"/>
          <w:b/>
          <w:sz w:val="20"/>
          <w:lang w:val="en-US"/>
        </w:rPr>
        <w:t xml:space="preserve">Date: </w:t>
      </w:r>
      <w:r w:rsidR="003F6B43">
        <w:rPr>
          <w:rFonts w:asciiTheme="minorHAnsi" w:hAnsiTheme="minorHAnsi"/>
          <w:sz w:val="20"/>
          <w:lang w:val="en-US"/>
        </w:rPr>
        <w:t>02</w:t>
      </w:r>
      <w:r w:rsidRPr="006A60B8">
        <w:rPr>
          <w:rFonts w:asciiTheme="minorHAnsi" w:hAnsiTheme="minorHAnsi"/>
          <w:sz w:val="20"/>
          <w:lang w:val="en-US"/>
        </w:rPr>
        <w:t>/0</w:t>
      </w:r>
      <w:r w:rsidR="003F6B43">
        <w:rPr>
          <w:rFonts w:asciiTheme="minorHAnsi" w:hAnsiTheme="minorHAnsi"/>
          <w:sz w:val="20"/>
          <w:lang w:val="en-US"/>
        </w:rPr>
        <w:t>2</w:t>
      </w:r>
      <w:r w:rsidRPr="006A60B8">
        <w:rPr>
          <w:rFonts w:asciiTheme="minorHAnsi" w:hAnsiTheme="minorHAnsi"/>
          <w:sz w:val="20"/>
          <w:lang w:val="en-US"/>
        </w:rPr>
        <w:t>/20</w:t>
      </w:r>
      <w:r w:rsidR="00393E82">
        <w:rPr>
          <w:rFonts w:asciiTheme="minorHAnsi" w:hAnsiTheme="minorHAnsi"/>
          <w:sz w:val="20"/>
          <w:lang w:val="en-US"/>
        </w:rPr>
        <w:t>2</w:t>
      </w:r>
      <w:r w:rsidR="003F6B43">
        <w:rPr>
          <w:rFonts w:asciiTheme="minorHAnsi" w:hAnsiTheme="minorHAnsi"/>
          <w:sz w:val="20"/>
          <w:lang w:val="en-US"/>
        </w:rPr>
        <w:t>1</w:t>
      </w:r>
      <w:r w:rsidRPr="006A60B8">
        <w:rPr>
          <w:rFonts w:asciiTheme="minorHAnsi" w:hAnsiTheme="minorHAnsi"/>
          <w:b/>
          <w:sz w:val="20"/>
          <w:lang w:val="en-US"/>
        </w:rPr>
        <w:tab/>
      </w:r>
      <w:r w:rsidRPr="006A60B8">
        <w:rPr>
          <w:rFonts w:asciiTheme="minorHAnsi" w:hAnsiTheme="minorHAnsi"/>
          <w:b/>
          <w:sz w:val="20"/>
          <w:lang w:val="en-US"/>
        </w:rPr>
        <w:tab/>
      </w:r>
      <w:r w:rsidR="003F6B43">
        <w:rPr>
          <w:rFonts w:asciiTheme="minorHAnsi" w:hAnsiTheme="minorHAnsi"/>
          <w:b/>
          <w:sz w:val="20"/>
          <w:lang w:val="en-US"/>
        </w:rPr>
        <w:t xml:space="preserve">     </w:t>
      </w:r>
      <w:r w:rsidR="003F6B43">
        <w:rPr>
          <w:rFonts w:asciiTheme="minorHAnsi" w:hAnsiTheme="minorHAnsi"/>
          <w:b/>
          <w:sz w:val="20"/>
          <w:lang w:val="en-US"/>
        </w:rPr>
        <w:tab/>
      </w:r>
      <w:r w:rsidR="003F6B43">
        <w:rPr>
          <w:rFonts w:asciiTheme="minorHAnsi" w:hAnsiTheme="minorHAnsi"/>
          <w:b/>
          <w:sz w:val="20"/>
          <w:lang w:val="en-US"/>
        </w:rPr>
        <w:tab/>
        <w:t xml:space="preserve">            </w:t>
      </w:r>
      <w:r w:rsidRPr="006A60B8">
        <w:rPr>
          <w:rFonts w:asciiTheme="minorHAnsi" w:hAnsiTheme="minorHAnsi"/>
          <w:b/>
          <w:sz w:val="20"/>
          <w:lang w:val="en-US"/>
        </w:rPr>
        <w:t xml:space="preserve">   </w:t>
      </w:r>
      <w:r>
        <w:rPr>
          <w:rFonts w:asciiTheme="minorHAnsi" w:hAnsiTheme="minorHAnsi"/>
          <w:b/>
          <w:sz w:val="20"/>
          <w:lang w:val="en-US"/>
        </w:rPr>
        <w:tab/>
      </w:r>
      <w:r w:rsidRPr="006A60B8">
        <w:rPr>
          <w:rFonts w:asciiTheme="minorHAnsi" w:hAnsiTheme="minorHAnsi"/>
          <w:b/>
          <w:sz w:val="20"/>
          <w:lang w:val="en-US"/>
        </w:rPr>
        <w:t xml:space="preserve">Time to complete the exam: </w:t>
      </w:r>
      <w:r w:rsidR="003F6B43">
        <w:rPr>
          <w:rFonts w:asciiTheme="minorHAnsi" w:hAnsiTheme="minorHAnsi"/>
          <w:bCs/>
          <w:sz w:val="20"/>
          <w:lang w:val="en-US"/>
        </w:rPr>
        <w:t>1</w:t>
      </w:r>
      <w:r w:rsidRPr="006A60B8">
        <w:rPr>
          <w:rFonts w:asciiTheme="minorHAnsi" w:hAnsiTheme="minorHAnsi"/>
          <w:bCs/>
          <w:sz w:val="20"/>
          <w:lang w:val="en-US"/>
        </w:rPr>
        <w:t>:</w:t>
      </w:r>
      <w:r w:rsidR="00FC54BE">
        <w:rPr>
          <w:rFonts w:asciiTheme="minorHAnsi" w:hAnsiTheme="minorHAnsi"/>
          <w:sz w:val="20"/>
          <w:lang w:val="en-US"/>
        </w:rPr>
        <w:t>30</w:t>
      </w:r>
      <w:r w:rsidR="003F6B43">
        <w:rPr>
          <w:rFonts w:asciiTheme="minorHAnsi" w:hAnsiTheme="minorHAnsi"/>
          <w:sz w:val="20"/>
          <w:lang w:val="en-US"/>
        </w:rPr>
        <w:t xml:space="preserve"> </w:t>
      </w:r>
      <w:r w:rsidR="00055737">
        <w:rPr>
          <w:rFonts w:asciiTheme="minorHAnsi" w:hAnsiTheme="minorHAnsi"/>
          <w:sz w:val="20"/>
          <w:lang w:val="en-US"/>
        </w:rPr>
        <w:t>hours</w:t>
      </w:r>
    </w:p>
    <w:p w:rsidR="00950465" w:rsidRPr="006A60B8" w:rsidRDefault="00950465" w:rsidP="00950465">
      <w:pPr>
        <w:rPr>
          <w:rFonts w:asciiTheme="minorHAnsi" w:hAnsiTheme="minorHAnsi"/>
          <w:sz w:val="20"/>
          <w:lang w:val="en-US"/>
        </w:rPr>
      </w:pPr>
    </w:p>
    <w:p w:rsidR="00950465" w:rsidRPr="00FC54BE" w:rsidRDefault="00950465" w:rsidP="00950465">
      <w:pPr>
        <w:rPr>
          <w:rFonts w:asciiTheme="minorHAnsi" w:hAnsiTheme="minorHAnsi"/>
          <w:sz w:val="20"/>
          <w:lang w:val="en-US"/>
        </w:rPr>
      </w:pPr>
    </w:p>
    <w:p w:rsidR="004F392C" w:rsidRDefault="00A651DB" w:rsidP="00C91DA6">
      <w:pPr>
        <w:jc w:val="center"/>
        <w:rPr>
          <w:rFonts w:asciiTheme="minorHAnsi" w:hAnsiTheme="minorHAnsi"/>
          <w:sz w:val="20"/>
          <w:lang w:val="en-GB"/>
        </w:rPr>
      </w:pPr>
      <w:r>
        <w:rPr>
          <w:rFonts w:asciiTheme="minorHAnsi" w:hAnsiTheme="minorHAnsi"/>
          <w:b/>
          <w:sz w:val="20"/>
          <w:lang w:val="en-GB"/>
        </w:rPr>
        <w:t xml:space="preserve">Exam </w:t>
      </w:r>
      <w:r w:rsidR="00BB3952">
        <w:rPr>
          <w:rFonts w:asciiTheme="minorHAnsi" w:hAnsiTheme="minorHAnsi"/>
          <w:b/>
          <w:sz w:val="20"/>
          <w:lang w:val="en-GB"/>
        </w:rPr>
        <w:t xml:space="preserve">PART </w:t>
      </w:r>
      <w:r w:rsidR="003F6B43">
        <w:rPr>
          <w:rFonts w:asciiTheme="minorHAnsi" w:hAnsiTheme="minorHAnsi"/>
          <w:b/>
          <w:sz w:val="20"/>
          <w:lang w:val="en-GB"/>
        </w:rPr>
        <w:t>B</w:t>
      </w:r>
      <w:r w:rsidR="00C91DA6">
        <w:rPr>
          <w:rFonts w:asciiTheme="minorHAnsi" w:hAnsiTheme="minorHAnsi"/>
          <w:b/>
          <w:sz w:val="20"/>
          <w:lang w:val="en-GB"/>
        </w:rPr>
        <w:t xml:space="preserve"> </w:t>
      </w:r>
      <w:r w:rsidR="00C91DA6" w:rsidRPr="00207AC6">
        <w:rPr>
          <w:rFonts w:asciiTheme="minorHAnsi" w:hAnsiTheme="minorHAnsi"/>
          <w:b/>
          <w:sz w:val="20"/>
          <w:lang w:val="en-GB"/>
        </w:rPr>
        <w:t>(</w:t>
      </w:r>
      <w:r w:rsidR="0060037B">
        <w:rPr>
          <w:rFonts w:asciiTheme="minorHAnsi" w:hAnsiTheme="minorHAnsi"/>
          <w:b/>
          <w:sz w:val="20"/>
          <w:lang w:val="en-GB"/>
        </w:rPr>
        <w:t>1</w:t>
      </w:r>
      <w:r w:rsidR="003F6B43">
        <w:rPr>
          <w:rFonts w:asciiTheme="minorHAnsi" w:hAnsiTheme="minorHAnsi"/>
          <w:b/>
          <w:sz w:val="20"/>
          <w:lang w:val="en-GB"/>
        </w:rPr>
        <w:t>3</w:t>
      </w:r>
      <w:r w:rsidR="00C91DA6" w:rsidRPr="00207AC6">
        <w:rPr>
          <w:rFonts w:asciiTheme="minorHAnsi" w:hAnsiTheme="minorHAnsi"/>
          <w:b/>
          <w:sz w:val="20"/>
          <w:lang w:val="en-GB"/>
        </w:rPr>
        <w:t>0 points)</w:t>
      </w:r>
    </w:p>
    <w:p w:rsidR="004F392C" w:rsidRDefault="004F392C" w:rsidP="00950465">
      <w:pPr>
        <w:rPr>
          <w:rFonts w:asciiTheme="minorHAnsi" w:hAnsiTheme="minorHAnsi"/>
          <w:sz w:val="20"/>
          <w:lang w:val="en-GB"/>
        </w:rPr>
      </w:pPr>
    </w:p>
    <w:p w:rsidR="003F6B43" w:rsidRPr="00950465" w:rsidRDefault="003F6B43" w:rsidP="00950465">
      <w:pPr>
        <w:rPr>
          <w:rFonts w:asciiTheme="minorHAnsi" w:hAnsiTheme="minorHAnsi"/>
          <w:sz w:val="20"/>
          <w:lang w:val="en-GB"/>
        </w:rPr>
      </w:pPr>
    </w:p>
    <w:p w:rsidR="003F6B43" w:rsidRDefault="003F6B43" w:rsidP="00A651DB">
      <w:pPr>
        <w:jc w:val="both"/>
        <w:rPr>
          <w:rFonts w:asciiTheme="minorHAnsi" w:hAnsiTheme="minorHAnsi"/>
          <w:sz w:val="20"/>
          <w:lang w:val="en-GB"/>
        </w:rPr>
      </w:pPr>
      <w:r>
        <w:rPr>
          <w:rFonts w:asciiTheme="minorHAnsi" w:hAnsiTheme="minorHAnsi"/>
          <w:sz w:val="20"/>
          <w:lang w:val="en-GB"/>
        </w:rPr>
        <w:t>Please consider the Case Studies provided and answer in a straightforward way to the following questions:</w:t>
      </w:r>
    </w:p>
    <w:p w:rsidR="003F6B43" w:rsidRDefault="003F6B43" w:rsidP="00A651DB">
      <w:pPr>
        <w:jc w:val="both"/>
        <w:rPr>
          <w:rFonts w:asciiTheme="minorHAnsi" w:hAnsiTheme="minorHAnsi"/>
          <w:sz w:val="20"/>
          <w:lang w:val="en-GB"/>
        </w:rPr>
      </w:pPr>
    </w:p>
    <w:p w:rsidR="003F6B43" w:rsidRPr="00C14841" w:rsidRDefault="003F6B43" w:rsidP="00A651DB">
      <w:pPr>
        <w:pStyle w:val="ListParagraph"/>
        <w:numPr>
          <w:ilvl w:val="0"/>
          <w:numId w:val="9"/>
        </w:numPr>
        <w:ind w:left="284" w:hanging="284"/>
        <w:jc w:val="both"/>
        <w:rPr>
          <w:rFonts w:asciiTheme="minorHAnsi" w:hAnsiTheme="minorHAnsi"/>
          <w:sz w:val="20"/>
          <w:lang w:val="en-GB"/>
        </w:rPr>
      </w:pPr>
      <w:r>
        <w:rPr>
          <w:rFonts w:asciiTheme="minorHAnsi" w:hAnsiTheme="minorHAnsi"/>
          <w:sz w:val="20"/>
          <w:lang w:val="en-GB"/>
        </w:rPr>
        <w:t xml:space="preserve">How can the yield curve be used to predict recessions and the future level of reference rates of central banks, by also taking into account the explanatory theories of the term structure of interest rates.  </w:t>
      </w:r>
      <w:r w:rsidRPr="003F6B43">
        <w:rPr>
          <w:rFonts w:asciiTheme="minorHAnsi" w:hAnsiTheme="minorHAnsi"/>
          <w:b/>
          <w:sz w:val="20"/>
          <w:lang w:val="en-GB"/>
        </w:rPr>
        <w:t>(</w:t>
      </w:r>
      <w:r w:rsidR="00A651DB">
        <w:rPr>
          <w:rFonts w:asciiTheme="minorHAnsi" w:hAnsiTheme="minorHAnsi"/>
          <w:b/>
          <w:sz w:val="20"/>
          <w:lang w:val="en-GB"/>
        </w:rPr>
        <w:t>3</w:t>
      </w:r>
      <w:r w:rsidRPr="003F6B43">
        <w:rPr>
          <w:rFonts w:asciiTheme="minorHAnsi" w:hAnsiTheme="minorHAnsi"/>
          <w:b/>
          <w:sz w:val="20"/>
          <w:lang w:val="en-GB"/>
        </w:rPr>
        <w:t>0 points)</w:t>
      </w:r>
    </w:p>
    <w:p w:rsidR="00C14841" w:rsidRDefault="00C14841" w:rsidP="00C14841">
      <w:pPr>
        <w:pStyle w:val="ListParagraph"/>
        <w:ind w:left="284"/>
        <w:jc w:val="both"/>
        <w:rPr>
          <w:rFonts w:asciiTheme="minorHAnsi" w:hAnsiTheme="minorHAnsi"/>
          <w:b/>
          <w:sz w:val="20"/>
          <w:lang w:val="en-GB"/>
        </w:rPr>
      </w:pPr>
    </w:p>
    <w:p w:rsidR="00C14841" w:rsidRDefault="00C14841" w:rsidP="00C14841">
      <w:pPr>
        <w:pStyle w:val="ListParagraph"/>
        <w:numPr>
          <w:ilvl w:val="0"/>
          <w:numId w:val="11"/>
        </w:numPr>
        <w:jc w:val="both"/>
        <w:rPr>
          <w:rFonts w:asciiTheme="minorHAnsi" w:hAnsiTheme="minorHAnsi"/>
          <w:sz w:val="20"/>
          <w:lang w:val="en-GB"/>
        </w:rPr>
      </w:pPr>
      <w:r w:rsidRPr="00C14841">
        <w:rPr>
          <w:rFonts w:asciiTheme="minorHAnsi" w:hAnsiTheme="minorHAnsi"/>
          <w:sz w:val="20"/>
          <w:lang w:val="en-GB"/>
        </w:rPr>
        <w:t xml:space="preserve">The </w:t>
      </w:r>
      <w:r>
        <w:rPr>
          <w:rFonts w:asciiTheme="minorHAnsi" w:hAnsiTheme="minorHAnsi"/>
          <w:sz w:val="20"/>
          <w:lang w:val="en-GB"/>
        </w:rPr>
        <w:t>slope of the yield curve can be considered as a leading indicator of the business cycle, in the sense that a positively sloped yield curve mat embed expectations about future increases of short-term interest rates, which usually happen during the upward stages of the business cycle, as a consequence of monetary policy decisions to tackle inflationary pressures.</w:t>
      </w:r>
    </w:p>
    <w:p w:rsidR="00C14841" w:rsidRPr="00C14841" w:rsidRDefault="00C14841" w:rsidP="00C14841">
      <w:pPr>
        <w:pStyle w:val="ListParagraph"/>
        <w:numPr>
          <w:ilvl w:val="0"/>
          <w:numId w:val="11"/>
        </w:numPr>
        <w:jc w:val="both"/>
        <w:rPr>
          <w:rFonts w:asciiTheme="minorHAnsi" w:hAnsiTheme="minorHAnsi"/>
          <w:sz w:val="20"/>
          <w:lang w:val="en-GB"/>
        </w:rPr>
      </w:pPr>
      <w:r>
        <w:rPr>
          <w:rFonts w:asciiTheme="minorHAnsi" w:hAnsiTheme="minorHAnsi"/>
          <w:sz w:val="20"/>
          <w:lang w:val="en-GB"/>
        </w:rPr>
        <w:t>This perspective is based on the expectations theory of the term structure of interest rates, that states that long-term interest rates result from the current level and expectations about the future path of short-term interest rates.</w:t>
      </w:r>
    </w:p>
    <w:p w:rsidR="003F6B43" w:rsidRPr="003F6B43" w:rsidRDefault="003F6B43" w:rsidP="003F6B43">
      <w:pPr>
        <w:pStyle w:val="ListParagraph"/>
        <w:ind w:left="284" w:hanging="284"/>
        <w:rPr>
          <w:rFonts w:asciiTheme="minorHAnsi" w:hAnsiTheme="minorHAnsi"/>
          <w:sz w:val="20"/>
          <w:lang w:val="en-GB"/>
        </w:rPr>
      </w:pPr>
    </w:p>
    <w:p w:rsidR="00BB3952" w:rsidRPr="00C14841" w:rsidRDefault="00A651DB" w:rsidP="00D310A4">
      <w:pPr>
        <w:pStyle w:val="ListParagraph"/>
        <w:numPr>
          <w:ilvl w:val="0"/>
          <w:numId w:val="9"/>
        </w:numPr>
        <w:tabs>
          <w:tab w:val="left" w:pos="434"/>
        </w:tabs>
        <w:autoSpaceDE w:val="0"/>
        <w:autoSpaceDN w:val="0"/>
        <w:adjustRightInd w:val="0"/>
        <w:spacing w:before="200"/>
        <w:ind w:left="284" w:hanging="284"/>
        <w:jc w:val="both"/>
        <w:rPr>
          <w:rFonts w:asciiTheme="minorHAnsi" w:hAnsiTheme="minorHAnsi"/>
          <w:sz w:val="20"/>
          <w:lang w:val="en-GB"/>
        </w:rPr>
      </w:pPr>
      <w:r w:rsidRPr="00A651DB">
        <w:rPr>
          <w:rFonts w:asciiTheme="minorHAnsi" w:hAnsiTheme="minorHAnsi"/>
          <w:sz w:val="20"/>
          <w:lang w:val="en-GB"/>
        </w:rPr>
        <w:t xml:space="preserve">Present and discuss two alternative </w:t>
      </w:r>
      <w:r w:rsidR="00FD5DC9">
        <w:rPr>
          <w:rFonts w:asciiTheme="minorHAnsi" w:hAnsiTheme="minorHAnsi"/>
          <w:sz w:val="20"/>
          <w:lang w:val="en-GB"/>
        </w:rPr>
        <w:t xml:space="preserve">and adequate </w:t>
      </w:r>
      <w:r w:rsidRPr="00A651DB">
        <w:rPr>
          <w:rFonts w:asciiTheme="minorHAnsi" w:hAnsiTheme="minorHAnsi"/>
          <w:sz w:val="20"/>
          <w:lang w:val="en-GB"/>
        </w:rPr>
        <w:t xml:space="preserve">static methods to estimate the yield curve, identifying their major pros and cons. </w:t>
      </w:r>
      <w:r w:rsidR="00055737" w:rsidRPr="00A651DB">
        <w:rPr>
          <w:rFonts w:asciiTheme="minorHAnsi" w:hAnsiTheme="minorHAnsi"/>
          <w:b/>
          <w:sz w:val="20"/>
          <w:lang w:val="en-GB"/>
        </w:rPr>
        <w:t>(</w:t>
      </w:r>
      <w:r w:rsidR="00393E82" w:rsidRPr="00A651DB">
        <w:rPr>
          <w:rFonts w:asciiTheme="minorHAnsi" w:hAnsiTheme="minorHAnsi"/>
          <w:b/>
          <w:sz w:val="20"/>
          <w:lang w:val="en-GB"/>
        </w:rPr>
        <w:t>25</w:t>
      </w:r>
      <w:r w:rsidR="00055737" w:rsidRPr="00A651DB">
        <w:rPr>
          <w:rFonts w:asciiTheme="minorHAnsi" w:hAnsiTheme="minorHAnsi"/>
          <w:b/>
          <w:sz w:val="20"/>
          <w:lang w:val="en-GB"/>
        </w:rPr>
        <w:t xml:space="preserve"> points)</w:t>
      </w:r>
    </w:p>
    <w:p w:rsidR="00C14841" w:rsidRDefault="00C14841" w:rsidP="00C14841">
      <w:pPr>
        <w:pStyle w:val="ListParagraph"/>
        <w:tabs>
          <w:tab w:val="left" w:pos="434"/>
        </w:tabs>
        <w:autoSpaceDE w:val="0"/>
        <w:autoSpaceDN w:val="0"/>
        <w:adjustRightInd w:val="0"/>
        <w:spacing w:before="200"/>
        <w:ind w:left="284"/>
        <w:jc w:val="both"/>
        <w:rPr>
          <w:rFonts w:asciiTheme="minorHAnsi" w:hAnsiTheme="minorHAnsi"/>
          <w:b/>
          <w:sz w:val="20"/>
          <w:lang w:val="en-GB"/>
        </w:rPr>
      </w:pPr>
    </w:p>
    <w:p w:rsidR="00C14841" w:rsidRPr="00C14841" w:rsidRDefault="00C14841" w:rsidP="00C14841">
      <w:pPr>
        <w:pStyle w:val="ListParagraph"/>
        <w:numPr>
          <w:ilvl w:val="0"/>
          <w:numId w:val="11"/>
        </w:numPr>
        <w:tabs>
          <w:tab w:val="left" w:pos="434"/>
        </w:tabs>
        <w:autoSpaceDE w:val="0"/>
        <w:autoSpaceDN w:val="0"/>
        <w:adjustRightInd w:val="0"/>
        <w:spacing w:before="200"/>
        <w:jc w:val="both"/>
        <w:rPr>
          <w:rFonts w:asciiTheme="minorHAnsi" w:hAnsiTheme="minorHAnsi"/>
          <w:sz w:val="20"/>
          <w:lang w:val="en-GB"/>
        </w:rPr>
      </w:pPr>
      <w:r w:rsidRPr="00C14841">
        <w:rPr>
          <w:rFonts w:asciiTheme="minorHAnsi" w:hAnsiTheme="minorHAnsi"/>
          <w:sz w:val="20"/>
          <w:lang w:val="en-GB"/>
        </w:rPr>
        <w:t>Polynomial</w:t>
      </w:r>
      <w:r>
        <w:rPr>
          <w:rFonts w:asciiTheme="minorHAnsi" w:hAnsiTheme="minorHAnsi"/>
          <w:sz w:val="20"/>
          <w:lang w:val="en-GB"/>
        </w:rPr>
        <w:t xml:space="preserve"> or Nelson-Siegel/Svensson methods can be considered.</w:t>
      </w:r>
    </w:p>
    <w:p w:rsidR="00A651DB" w:rsidRPr="00A651DB" w:rsidRDefault="00A651DB" w:rsidP="00A651DB">
      <w:pPr>
        <w:pStyle w:val="ListParagraph"/>
        <w:rPr>
          <w:rFonts w:asciiTheme="minorHAnsi" w:hAnsiTheme="minorHAnsi"/>
          <w:sz w:val="20"/>
          <w:lang w:val="en-GB"/>
        </w:rPr>
      </w:pPr>
    </w:p>
    <w:p w:rsidR="00FD5DC9" w:rsidRPr="00C14841" w:rsidRDefault="00A651DB" w:rsidP="00FD5DC9">
      <w:pPr>
        <w:pStyle w:val="ListParagraph"/>
        <w:numPr>
          <w:ilvl w:val="0"/>
          <w:numId w:val="9"/>
        </w:numPr>
        <w:tabs>
          <w:tab w:val="left" w:pos="434"/>
        </w:tabs>
        <w:autoSpaceDE w:val="0"/>
        <w:autoSpaceDN w:val="0"/>
        <w:adjustRightInd w:val="0"/>
        <w:spacing w:before="200"/>
        <w:ind w:left="284" w:hanging="284"/>
        <w:jc w:val="both"/>
        <w:rPr>
          <w:rFonts w:asciiTheme="minorHAnsi" w:hAnsiTheme="minorHAnsi" w:cstheme="minorHAnsi"/>
          <w:sz w:val="20"/>
          <w:szCs w:val="20"/>
          <w:lang w:val="en-GB"/>
        </w:rPr>
      </w:pPr>
      <w:r>
        <w:rPr>
          <w:rFonts w:asciiTheme="minorHAnsi" w:hAnsiTheme="minorHAnsi"/>
          <w:sz w:val="20"/>
          <w:lang w:val="en-GB"/>
        </w:rPr>
        <w:t xml:space="preserve">Describe how to compute the price of a futures contract on the 3-month Euribor rate with settlement </w:t>
      </w:r>
      <w:r w:rsidRPr="00A651DB">
        <w:rPr>
          <w:rFonts w:asciiTheme="minorHAnsi" w:hAnsiTheme="minorHAnsi" w:cstheme="minorHAnsi"/>
          <w:sz w:val="20"/>
          <w:szCs w:val="20"/>
          <w:lang w:val="en-GB"/>
        </w:rPr>
        <w:t xml:space="preserve">next June. </w:t>
      </w:r>
      <w:r w:rsidRPr="00A651DB">
        <w:rPr>
          <w:rFonts w:asciiTheme="minorHAnsi" w:hAnsiTheme="minorHAnsi" w:cstheme="minorHAnsi"/>
          <w:b/>
          <w:sz w:val="20"/>
          <w:szCs w:val="20"/>
          <w:lang w:val="en-GB"/>
        </w:rPr>
        <w:t>(2</w:t>
      </w:r>
      <w:r w:rsidR="00FD5DC9">
        <w:rPr>
          <w:rFonts w:asciiTheme="minorHAnsi" w:hAnsiTheme="minorHAnsi" w:cstheme="minorHAnsi"/>
          <w:b/>
          <w:sz w:val="20"/>
          <w:szCs w:val="20"/>
          <w:lang w:val="en-GB"/>
        </w:rPr>
        <w:t>0</w:t>
      </w:r>
      <w:r w:rsidRPr="00A651DB">
        <w:rPr>
          <w:rFonts w:asciiTheme="minorHAnsi" w:hAnsiTheme="minorHAnsi" w:cstheme="minorHAnsi"/>
          <w:b/>
          <w:sz w:val="20"/>
          <w:szCs w:val="20"/>
          <w:lang w:val="en-GB"/>
        </w:rPr>
        <w:t xml:space="preserve"> points)</w:t>
      </w:r>
    </w:p>
    <w:p w:rsidR="00C14841" w:rsidRDefault="00C14841" w:rsidP="00C14841">
      <w:pPr>
        <w:tabs>
          <w:tab w:val="left" w:pos="434"/>
        </w:tabs>
        <w:autoSpaceDE w:val="0"/>
        <w:autoSpaceDN w:val="0"/>
        <w:adjustRightInd w:val="0"/>
        <w:spacing w:before="200"/>
        <w:jc w:val="both"/>
        <w:rPr>
          <w:rFonts w:asciiTheme="minorHAnsi" w:hAnsiTheme="minorHAnsi" w:cstheme="minorHAnsi"/>
          <w:sz w:val="20"/>
          <w:szCs w:val="20"/>
          <w:lang w:val="en-GB"/>
        </w:rPr>
      </w:pPr>
      <w:r w:rsidRPr="00C14841">
        <w:rPr>
          <w:rFonts w:asciiTheme="minorHAnsi" w:hAnsiTheme="minorHAnsi" w:cstheme="minorHAnsi"/>
          <w:sz w:val="20"/>
          <w:szCs w:val="20"/>
        </w:rPr>
        <w:drawing>
          <wp:inline distT="0" distB="0" distL="0" distR="0" wp14:anchorId="4CCFCA3D" wp14:editId="5A8E683D">
            <wp:extent cx="1498600" cy="558441"/>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1526721" cy="568920"/>
                    </a:xfrm>
                    <a:prstGeom prst="rect">
                      <a:avLst/>
                    </a:prstGeom>
                  </pic:spPr>
                </pic:pic>
              </a:graphicData>
            </a:graphic>
          </wp:inline>
        </w:drawing>
      </w:r>
    </w:p>
    <w:p w:rsidR="00C14841" w:rsidRDefault="00C14841" w:rsidP="00C14841">
      <w:pPr>
        <w:tabs>
          <w:tab w:val="left" w:pos="434"/>
        </w:tabs>
        <w:autoSpaceDE w:val="0"/>
        <w:autoSpaceDN w:val="0"/>
        <w:adjustRightInd w:val="0"/>
        <w:spacing w:before="200"/>
        <w:jc w:val="both"/>
        <w:rPr>
          <w:rFonts w:asciiTheme="minorHAnsi" w:hAnsiTheme="minorHAnsi" w:cstheme="minorHAnsi"/>
          <w:sz w:val="20"/>
          <w:szCs w:val="20"/>
          <w:lang w:val="en-GB"/>
        </w:rPr>
      </w:pPr>
      <w:r>
        <w:rPr>
          <w:rFonts w:asciiTheme="minorHAnsi" w:hAnsiTheme="minorHAnsi" w:cstheme="minorHAnsi"/>
          <w:sz w:val="20"/>
          <w:szCs w:val="20"/>
          <w:lang w:val="en-GB"/>
        </w:rPr>
        <w:t>Being m = 4/12 and n=0,25</w:t>
      </w:r>
    </w:p>
    <w:p w:rsidR="00C14841" w:rsidRPr="00C14841" w:rsidRDefault="00C14841" w:rsidP="00C14841">
      <w:pPr>
        <w:tabs>
          <w:tab w:val="left" w:pos="434"/>
        </w:tabs>
        <w:autoSpaceDE w:val="0"/>
        <w:autoSpaceDN w:val="0"/>
        <w:adjustRightInd w:val="0"/>
        <w:spacing w:before="200"/>
        <w:jc w:val="both"/>
        <w:rPr>
          <w:rFonts w:asciiTheme="minorHAnsi" w:hAnsiTheme="minorHAnsi" w:cstheme="minorHAnsi"/>
          <w:sz w:val="20"/>
          <w:szCs w:val="20"/>
          <w:lang w:val="en-GB"/>
        </w:rPr>
      </w:pPr>
      <w:r>
        <w:rPr>
          <w:rFonts w:asciiTheme="minorHAnsi" w:hAnsiTheme="minorHAnsi" w:cstheme="minorHAnsi"/>
          <w:sz w:val="20"/>
          <w:szCs w:val="20"/>
          <w:lang w:val="en-GB"/>
        </w:rPr>
        <w:t>The spot rate should be obtained from fitting the yield curve (e.g. by using one of the methods characterised in the previous question), resulting from yields to maturity of coupon-paying bonds, as usually zero-coupon bonds beyond the 1-year maturity are not available.</w:t>
      </w:r>
    </w:p>
    <w:p w:rsidR="00FD5DC9" w:rsidRPr="00C14841" w:rsidRDefault="00FD5DC9" w:rsidP="00FD5DC9">
      <w:pPr>
        <w:pStyle w:val="ListParagraph"/>
        <w:rPr>
          <w:rFonts w:asciiTheme="minorHAnsi" w:eastAsiaTheme="minorHAnsi" w:hAnsiTheme="minorHAnsi" w:cstheme="minorHAnsi"/>
          <w:sz w:val="20"/>
          <w:szCs w:val="20"/>
          <w:lang w:val="en-GB" w:eastAsia="en-US"/>
        </w:rPr>
      </w:pPr>
    </w:p>
    <w:p w:rsidR="00FD5DC9" w:rsidRPr="00C14841" w:rsidRDefault="00A651DB" w:rsidP="00FD5DC9">
      <w:pPr>
        <w:pStyle w:val="ListParagraph"/>
        <w:numPr>
          <w:ilvl w:val="0"/>
          <w:numId w:val="9"/>
        </w:numPr>
        <w:tabs>
          <w:tab w:val="left" w:pos="434"/>
        </w:tabs>
        <w:autoSpaceDE w:val="0"/>
        <w:autoSpaceDN w:val="0"/>
        <w:adjustRightInd w:val="0"/>
        <w:spacing w:before="200"/>
        <w:ind w:left="284" w:hanging="284"/>
        <w:jc w:val="both"/>
        <w:rPr>
          <w:rFonts w:asciiTheme="minorHAnsi" w:hAnsiTheme="minorHAnsi" w:cstheme="minorHAnsi"/>
          <w:sz w:val="20"/>
          <w:szCs w:val="20"/>
          <w:lang w:val="en-GB"/>
        </w:rPr>
      </w:pPr>
      <w:r w:rsidRPr="00FD5DC9">
        <w:rPr>
          <w:rFonts w:asciiTheme="minorHAnsi" w:eastAsiaTheme="minorHAnsi" w:hAnsiTheme="minorHAnsi" w:cstheme="minorHAnsi"/>
          <w:sz w:val="20"/>
          <w:szCs w:val="20"/>
          <w:lang w:val="en-US" w:eastAsia="en-US"/>
        </w:rPr>
        <w:t>Characterize the structured products presented in the cases, namely by</w:t>
      </w:r>
      <w:r w:rsidR="00FD5DC9" w:rsidRPr="00FD5DC9">
        <w:rPr>
          <w:rFonts w:asciiTheme="minorHAnsi" w:eastAsiaTheme="minorHAnsi" w:hAnsiTheme="minorHAnsi" w:cstheme="minorHAnsi"/>
          <w:sz w:val="20"/>
          <w:szCs w:val="20"/>
          <w:lang w:val="en-US" w:eastAsia="en-US"/>
        </w:rPr>
        <w:t xml:space="preserve"> i</w:t>
      </w:r>
      <w:r w:rsidRPr="00FD5DC9">
        <w:rPr>
          <w:rFonts w:asciiTheme="minorHAnsi" w:eastAsiaTheme="minorHAnsi" w:hAnsiTheme="minorHAnsi" w:cstheme="minorHAnsi"/>
          <w:sz w:val="20"/>
          <w:szCs w:val="20"/>
          <w:lang w:val="en-US" w:eastAsia="en-US"/>
        </w:rPr>
        <w:t>dentifying the options embedded</w:t>
      </w:r>
      <w:r w:rsidR="00FD5DC9" w:rsidRPr="00FD5DC9">
        <w:rPr>
          <w:rFonts w:asciiTheme="minorHAnsi" w:eastAsiaTheme="minorHAnsi" w:hAnsiTheme="minorHAnsi" w:cstheme="minorHAnsi"/>
          <w:sz w:val="20"/>
          <w:szCs w:val="20"/>
          <w:lang w:val="en-US" w:eastAsia="en-US"/>
        </w:rPr>
        <w:t xml:space="preserve"> and </w:t>
      </w:r>
      <w:r w:rsidRPr="00FD5DC9">
        <w:rPr>
          <w:rFonts w:asciiTheme="minorHAnsi" w:eastAsiaTheme="minorHAnsi" w:hAnsiTheme="minorHAnsi" w:cstheme="minorHAnsi"/>
          <w:sz w:val="20"/>
          <w:szCs w:val="20"/>
          <w:lang w:val="en-US" w:eastAsia="en-US"/>
        </w:rPr>
        <w:t>the ups</w:t>
      </w:r>
      <w:r w:rsidR="00FD5DC9" w:rsidRPr="00FD5DC9">
        <w:rPr>
          <w:rFonts w:asciiTheme="minorHAnsi" w:eastAsiaTheme="minorHAnsi" w:hAnsiTheme="minorHAnsi" w:cstheme="minorHAnsi"/>
          <w:sz w:val="20"/>
          <w:szCs w:val="20"/>
          <w:lang w:val="en-US" w:eastAsia="en-US"/>
        </w:rPr>
        <w:t>ide and risks for investors</w:t>
      </w:r>
      <w:r w:rsidR="00FD5DC9">
        <w:rPr>
          <w:rFonts w:asciiTheme="minorHAnsi" w:eastAsiaTheme="minorHAnsi" w:hAnsiTheme="minorHAnsi" w:cstheme="minorHAnsi"/>
          <w:sz w:val="20"/>
          <w:szCs w:val="20"/>
          <w:lang w:val="en-US" w:eastAsia="en-US"/>
        </w:rPr>
        <w:t xml:space="preserve">. </w:t>
      </w:r>
      <w:r w:rsidR="00FD5DC9" w:rsidRPr="00A651DB">
        <w:rPr>
          <w:rFonts w:asciiTheme="minorHAnsi" w:hAnsiTheme="minorHAnsi" w:cstheme="minorHAnsi"/>
          <w:b/>
          <w:sz w:val="20"/>
          <w:szCs w:val="20"/>
          <w:lang w:val="en-GB"/>
        </w:rPr>
        <w:t>(</w:t>
      </w:r>
      <w:r w:rsidR="00FD5DC9">
        <w:rPr>
          <w:rFonts w:asciiTheme="minorHAnsi" w:hAnsiTheme="minorHAnsi" w:cstheme="minorHAnsi"/>
          <w:b/>
          <w:sz w:val="20"/>
          <w:szCs w:val="20"/>
          <w:lang w:val="en-GB"/>
        </w:rPr>
        <w:t>30</w:t>
      </w:r>
      <w:r w:rsidR="00FD5DC9" w:rsidRPr="00A651DB">
        <w:rPr>
          <w:rFonts w:asciiTheme="minorHAnsi" w:hAnsiTheme="minorHAnsi" w:cstheme="minorHAnsi"/>
          <w:b/>
          <w:sz w:val="20"/>
          <w:szCs w:val="20"/>
          <w:lang w:val="en-GB"/>
        </w:rPr>
        <w:t xml:space="preserve"> points)</w:t>
      </w:r>
    </w:p>
    <w:p w:rsidR="00C14841" w:rsidRDefault="00C14841" w:rsidP="00C14841">
      <w:pPr>
        <w:pStyle w:val="ListParagraph"/>
        <w:tabs>
          <w:tab w:val="left" w:pos="434"/>
        </w:tabs>
        <w:autoSpaceDE w:val="0"/>
        <w:autoSpaceDN w:val="0"/>
        <w:adjustRightInd w:val="0"/>
        <w:spacing w:before="200"/>
        <w:ind w:left="284"/>
        <w:jc w:val="both"/>
        <w:rPr>
          <w:rFonts w:asciiTheme="minorHAnsi" w:hAnsiTheme="minorHAnsi" w:cstheme="minorHAnsi"/>
          <w:b/>
          <w:sz w:val="20"/>
          <w:szCs w:val="20"/>
          <w:lang w:val="en-GB"/>
        </w:rPr>
      </w:pPr>
    </w:p>
    <w:p w:rsidR="00C14841" w:rsidRDefault="00C14841" w:rsidP="00C14841">
      <w:pPr>
        <w:pStyle w:val="ListParagraph"/>
        <w:numPr>
          <w:ilvl w:val="0"/>
          <w:numId w:val="11"/>
        </w:numPr>
        <w:tabs>
          <w:tab w:val="left" w:pos="434"/>
        </w:tabs>
        <w:autoSpaceDE w:val="0"/>
        <w:autoSpaceDN w:val="0"/>
        <w:adjustRightInd w:val="0"/>
        <w:spacing w:before="200"/>
        <w:jc w:val="both"/>
        <w:rPr>
          <w:rFonts w:asciiTheme="minorHAnsi" w:hAnsiTheme="minorHAnsi" w:cstheme="minorHAnsi"/>
          <w:sz w:val="20"/>
          <w:szCs w:val="20"/>
          <w:lang w:val="en-GB"/>
        </w:rPr>
      </w:pPr>
      <w:r w:rsidRPr="00C14841">
        <w:rPr>
          <w:rFonts w:asciiTheme="minorHAnsi" w:hAnsiTheme="minorHAnsi" w:cstheme="minorHAnsi"/>
          <w:sz w:val="20"/>
          <w:szCs w:val="20"/>
          <w:lang w:val="en-GB"/>
        </w:rPr>
        <w:t>Bo</w:t>
      </w:r>
      <w:r>
        <w:rPr>
          <w:rFonts w:asciiTheme="minorHAnsi" w:hAnsiTheme="minorHAnsi" w:cstheme="minorHAnsi"/>
          <w:sz w:val="20"/>
          <w:szCs w:val="20"/>
          <w:lang w:val="en-GB"/>
        </w:rPr>
        <w:t>th products</w:t>
      </w:r>
      <w:r w:rsidR="00195AC7">
        <w:rPr>
          <w:rFonts w:asciiTheme="minorHAnsi" w:hAnsiTheme="minorHAnsi" w:cstheme="minorHAnsi"/>
          <w:sz w:val="20"/>
          <w:szCs w:val="20"/>
          <w:lang w:val="en-GB"/>
        </w:rPr>
        <w:t xml:space="preserve"> correspond to a zero-coupon bond plus long positions in call-options, but the DB product also includes a short-position in a put-option for large market downturns.</w:t>
      </w:r>
    </w:p>
    <w:p w:rsidR="00195AC7" w:rsidRPr="00C14841" w:rsidRDefault="00195AC7" w:rsidP="00C14841">
      <w:pPr>
        <w:pStyle w:val="ListParagraph"/>
        <w:numPr>
          <w:ilvl w:val="0"/>
          <w:numId w:val="11"/>
        </w:numPr>
        <w:tabs>
          <w:tab w:val="left" w:pos="434"/>
        </w:tabs>
        <w:autoSpaceDE w:val="0"/>
        <w:autoSpaceDN w:val="0"/>
        <w:adjustRightInd w:val="0"/>
        <w:spacing w:before="20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product issued by the swiss bank includes a plain vanilla call-option and the </w:t>
      </w:r>
      <w:r w:rsidR="00AD2178">
        <w:rPr>
          <w:rFonts w:asciiTheme="minorHAnsi" w:hAnsiTheme="minorHAnsi" w:cstheme="minorHAnsi"/>
          <w:sz w:val="20"/>
          <w:szCs w:val="20"/>
          <w:lang w:val="en-GB"/>
        </w:rPr>
        <w:t>return corresponds to half of the option payoff, with a cap (that corresponds to a short position in a put option, with a strike price equal to underlying asset value where the cap is placed.</w:t>
      </w:r>
    </w:p>
    <w:p w:rsidR="00FD5DC9" w:rsidRPr="00FD5DC9" w:rsidRDefault="00FD5DC9" w:rsidP="00FD5DC9">
      <w:pPr>
        <w:pStyle w:val="ListParagraph"/>
        <w:rPr>
          <w:rFonts w:asciiTheme="minorHAnsi" w:eastAsiaTheme="minorHAnsi" w:hAnsiTheme="minorHAnsi" w:cstheme="minorHAnsi"/>
          <w:sz w:val="20"/>
          <w:szCs w:val="20"/>
          <w:lang w:val="en-GB" w:eastAsia="en-US"/>
        </w:rPr>
      </w:pPr>
    </w:p>
    <w:p w:rsidR="00FD5DC9" w:rsidRPr="00AD2178" w:rsidRDefault="00FD5DC9" w:rsidP="00FD5DC9">
      <w:pPr>
        <w:pStyle w:val="ListParagraph"/>
        <w:numPr>
          <w:ilvl w:val="0"/>
          <w:numId w:val="9"/>
        </w:numPr>
        <w:tabs>
          <w:tab w:val="left" w:pos="434"/>
        </w:tabs>
        <w:autoSpaceDE w:val="0"/>
        <w:autoSpaceDN w:val="0"/>
        <w:adjustRightInd w:val="0"/>
        <w:spacing w:before="200"/>
        <w:ind w:left="284" w:hanging="284"/>
        <w:jc w:val="both"/>
        <w:rPr>
          <w:rFonts w:asciiTheme="minorHAnsi" w:hAnsiTheme="minorHAnsi" w:cstheme="minorHAnsi"/>
          <w:sz w:val="20"/>
          <w:szCs w:val="20"/>
          <w:lang w:val="en-GB"/>
        </w:rPr>
      </w:pPr>
      <w:r w:rsidRPr="00FD5DC9">
        <w:rPr>
          <w:rFonts w:asciiTheme="minorHAnsi" w:eastAsiaTheme="minorHAnsi" w:hAnsiTheme="minorHAnsi" w:cstheme="minorHAnsi"/>
          <w:sz w:val="20"/>
          <w:szCs w:val="20"/>
          <w:lang w:val="en-GB" w:eastAsia="en-US"/>
        </w:rPr>
        <w:t>Describ</w:t>
      </w:r>
      <w:r>
        <w:rPr>
          <w:rFonts w:asciiTheme="minorHAnsi" w:eastAsiaTheme="minorHAnsi" w:hAnsiTheme="minorHAnsi" w:cstheme="minorHAnsi"/>
          <w:sz w:val="20"/>
          <w:szCs w:val="20"/>
          <w:lang w:val="en-GB" w:eastAsia="en-US"/>
        </w:rPr>
        <w:t>e</w:t>
      </w:r>
      <w:r w:rsidRPr="00FD5DC9">
        <w:rPr>
          <w:rFonts w:asciiTheme="minorHAnsi" w:eastAsiaTheme="minorHAnsi" w:hAnsiTheme="minorHAnsi" w:cstheme="minorHAnsi"/>
          <w:sz w:val="20"/>
          <w:szCs w:val="20"/>
          <w:lang w:val="en-GB" w:eastAsia="en-US"/>
        </w:rPr>
        <w:t xml:space="preserve"> how </w:t>
      </w:r>
      <w:r>
        <w:rPr>
          <w:rFonts w:asciiTheme="minorHAnsi" w:eastAsiaTheme="minorHAnsi" w:hAnsiTheme="minorHAnsi" w:cstheme="minorHAnsi"/>
          <w:sz w:val="20"/>
          <w:szCs w:val="20"/>
          <w:lang w:val="en-GB" w:eastAsia="en-US"/>
        </w:rPr>
        <w:t xml:space="preserve">to assess the </w:t>
      </w:r>
      <w:r w:rsidRPr="00FD5DC9">
        <w:rPr>
          <w:rFonts w:asciiTheme="minorHAnsi" w:eastAsiaTheme="minorHAnsi" w:hAnsiTheme="minorHAnsi" w:cstheme="minorHAnsi"/>
          <w:sz w:val="20"/>
          <w:szCs w:val="20"/>
          <w:lang w:val="en-GB" w:eastAsia="en-US"/>
        </w:rPr>
        <w:t>probability</w:t>
      </w:r>
      <w:r>
        <w:rPr>
          <w:rFonts w:asciiTheme="minorHAnsi" w:eastAsiaTheme="minorHAnsi" w:hAnsiTheme="minorHAnsi" w:cstheme="minorHAnsi"/>
          <w:sz w:val="20"/>
          <w:szCs w:val="20"/>
          <w:lang w:val="en-GB" w:eastAsia="en-US"/>
        </w:rPr>
        <w:t xml:space="preserve"> of losing more than 20% of the amount invested in each of the structured products. </w:t>
      </w:r>
      <w:r w:rsidRPr="00A651DB">
        <w:rPr>
          <w:rFonts w:asciiTheme="minorHAnsi" w:hAnsiTheme="minorHAnsi" w:cstheme="minorHAnsi"/>
          <w:b/>
          <w:sz w:val="20"/>
          <w:szCs w:val="20"/>
          <w:lang w:val="en-GB"/>
        </w:rPr>
        <w:t>(</w:t>
      </w:r>
      <w:r>
        <w:rPr>
          <w:rFonts w:asciiTheme="minorHAnsi" w:hAnsiTheme="minorHAnsi" w:cstheme="minorHAnsi"/>
          <w:b/>
          <w:sz w:val="20"/>
          <w:szCs w:val="20"/>
          <w:lang w:val="en-GB"/>
        </w:rPr>
        <w:t>25</w:t>
      </w:r>
      <w:r w:rsidRPr="00A651DB">
        <w:rPr>
          <w:rFonts w:asciiTheme="minorHAnsi" w:hAnsiTheme="minorHAnsi" w:cstheme="minorHAnsi"/>
          <w:b/>
          <w:sz w:val="20"/>
          <w:szCs w:val="20"/>
          <w:lang w:val="en-GB"/>
        </w:rPr>
        <w:t xml:space="preserve"> points)</w:t>
      </w:r>
    </w:p>
    <w:p w:rsidR="00AD2178" w:rsidRDefault="00AD2178" w:rsidP="00AD2178">
      <w:pPr>
        <w:pStyle w:val="ListParagraph"/>
        <w:tabs>
          <w:tab w:val="left" w:pos="434"/>
        </w:tabs>
        <w:autoSpaceDE w:val="0"/>
        <w:autoSpaceDN w:val="0"/>
        <w:adjustRightInd w:val="0"/>
        <w:spacing w:before="200"/>
        <w:ind w:left="284"/>
        <w:jc w:val="both"/>
        <w:rPr>
          <w:rFonts w:asciiTheme="minorHAnsi" w:hAnsiTheme="minorHAnsi" w:cstheme="minorHAnsi"/>
          <w:b/>
          <w:sz w:val="20"/>
          <w:szCs w:val="20"/>
          <w:lang w:val="en-GB"/>
        </w:rPr>
      </w:pPr>
    </w:p>
    <w:p w:rsidR="00AD2178" w:rsidRDefault="00AD2178" w:rsidP="00AD2178">
      <w:pPr>
        <w:pStyle w:val="ListParagraph"/>
        <w:numPr>
          <w:ilvl w:val="0"/>
          <w:numId w:val="11"/>
        </w:numPr>
        <w:tabs>
          <w:tab w:val="left" w:pos="434"/>
        </w:tabs>
        <w:autoSpaceDE w:val="0"/>
        <w:autoSpaceDN w:val="0"/>
        <w:adjustRightInd w:val="0"/>
        <w:spacing w:before="200"/>
        <w:jc w:val="both"/>
        <w:rPr>
          <w:rFonts w:asciiTheme="minorHAnsi" w:hAnsiTheme="minorHAnsi" w:cstheme="minorHAnsi"/>
          <w:sz w:val="20"/>
          <w:szCs w:val="20"/>
          <w:lang w:val="en-GB"/>
        </w:rPr>
      </w:pPr>
      <w:r w:rsidRPr="00AD2178">
        <w:rPr>
          <w:rFonts w:asciiTheme="minorHAnsi" w:hAnsiTheme="minorHAnsi" w:cstheme="minorHAnsi"/>
          <w:sz w:val="20"/>
          <w:szCs w:val="20"/>
          <w:lang w:val="en-GB"/>
        </w:rPr>
        <w:lastRenderedPageBreak/>
        <w:t xml:space="preserve">In the </w:t>
      </w:r>
      <w:r>
        <w:rPr>
          <w:rFonts w:asciiTheme="minorHAnsi" w:hAnsiTheme="minorHAnsi" w:cstheme="minorHAnsi"/>
          <w:sz w:val="20"/>
          <w:szCs w:val="20"/>
          <w:lang w:val="en-GB"/>
        </w:rPr>
        <w:t>first product, it is not possible to lose 20%, only 35% or more. Therefore, the probability of losing more than 20% corresponds to the one of losing at least 35% =&gt; N(d2), with the strike price in d2 equal to the underlying asset price 35% below the initial strike price.</w:t>
      </w:r>
    </w:p>
    <w:p w:rsidR="00AD2178" w:rsidRPr="00AD2178" w:rsidRDefault="00AD2178" w:rsidP="00AD2178">
      <w:pPr>
        <w:pStyle w:val="ListParagraph"/>
        <w:numPr>
          <w:ilvl w:val="0"/>
          <w:numId w:val="11"/>
        </w:numPr>
        <w:tabs>
          <w:tab w:val="left" w:pos="434"/>
        </w:tabs>
        <w:autoSpaceDE w:val="0"/>
        <w:autoSpaceDN w:val="0"/>
        <w:adjustRightInd w:val="0"/>
        <w:spacing w:before="200"/>
        <w:jc w:val="both"/>
        <w:rPr>
          <w:rFonts w:asciiTheme="minorHAnsi" w:hAnsiTheme="minorHAnsi" w:cstheme="minorHAnsi"/>
          <w:sz w:val="20"/>
          <w:szCs w:val="20"/>
          <w:lang w:val="en-GB"/>
        </w:rPr>
      </w:pPr>
      <w:r>
        <w:rPr>
          <w:rFonts w:asciiTheme="minorHAnsi" w:hAnsiTheme="minorHAnsi" w:cstheme="minorHAnsi"/>
          <w:sz w:val="20"/>
          <w:szCs w:val="20"/>
          <w:lang w:val="en-GB"/>
        </w:rPr>
        <w:t>In the second product, there is no chance to lose, as the capital invested is fully protected.</w:t>
      </w:r>
      <w:bookmarkStart w:id="0" w:name="_GoBack"/>
      <w:bookmarkEnd w:id="0"/>
    </w:p>
    <w:sectPr w:rsidR="00AD2178" w:rsidRPr="00AD2178" w:rsidSect="00A651DB">
      <w:footnotePr>
        <w:pos w:val="beneathText"/>
      </w:footnotePr>
      <w:pgSz w:w="11905" w:h="16837"/>
      <w:pgMar w:top="1417" w:right="1701" w:bottom="1417"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AA" w:rsidRDefault="008E3EAA" w:rsidP="00950465">
      <w:r>
        <w:separator/>
      </w:r>
    </w:p>
  </w:endnote>
  <w:endnote w:type="continuationSeparator" w:id="0">
    <w:p w:rsidR="008E3EAA" w:rsidRDefault="008E3EAA" w:rsidP="0095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AA" w:rsidRDefault="008E3EAA" w:rsidP="00950465">
      <w:r>
        <w:separator/>
      </w:r>
    </w:p>
  </w:footnote>
  <w:footnote w:type="continuationSeparator" w:id="0">
    <w:p w:rsidR="008E3EAA" w:rsidRDefault="008E3EAA" w:rsidP="0095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D9063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F0184A"/>
    <w:multiLevelType w:val="hybridMultilevel"/>
    <w:tmpl w:val="F26EE6F2"/>
    <w:lvl w:ilvl="0" w:tplc="04FCB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1A1E19"/>
    <w:multiLevelType w:val="hybridMultilevel"/>
    <w:tmpl w:val="AD369396"/>
    <w:lvl w:ilvl="0" w:tplc="B7E67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501564"/>
    <w:multiLevelType w:val="hybridMultilevel"/>
    <w:tmpl w:val="B4188A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360586"/>
    <w:multiLevelType w:val="hybridMultilevel"/>
    <w:tmpl w:val="40F09F68"/>
    <w:lvl w:ilvl="0" w:tplc="28B85F44">
      <w:start w:val="1"/>
      <w:numFmt w:val="lowerRoman"/>
      <w:lvlText w:val="(%1)"/>
      <w:lvlJc w:val="left"/>
      <w:pPr>
        <w:ind w:left="1080" w:hanging="720"/>
      </w:pPr>
      <w:rPr>
        <w:rFonts w:eastAsia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C445D73"/>
    <w:multiLevelType w:val="hybridMultilevel"/>
    <w:tmpl w:val="B4188A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0D79DA"/>
    <w:multiLevelType w:val="hybridMultilevel"/>
    <w:tmpl w:val="48205B58"/>
    <w:lvl w:ilvl="0" w:tplc="A3080766">
      <w:numFmt w:val="bullet"/>
      <w:lvlText w:val="-"/>
      <w:lvlJc w:val="left"/>
      <w:pPr>
        <w:ind w:left="644" w:hanging="360"/>
      </w:pPr>
      <w:rPr>
        <w:rFonts w:ascii="Calibri" w:eastAsia="Times New Roman" w:hAnsi="Calibri" w:cs="Calibri" w:hint="default"/>
        <w:b/>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8" w15:restartNumberingAfterBreak="0">
    <w:nsid w:val="671016A5"/>
    <w:multiLevelType w:val="multilevel"/>
    <w:tmpl w:val="5190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upperRoman"/>
      <w:isLgl/>
      <w:lvlText w:val="%1.%2.%3."/>
      <w:lvlJc w:val="left"/>
      <w:pPr>
        <w:ind w:left="1440" w:hanging="108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9" w15:restartNumberingAfterBreak="0">
    <w:nsid w:val="76B42973"/>
    <w:multiLevelType w:val="hybridMultilevel"/>
    <w:tmpl w:val="A620CC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65"/>
    <w:rsid w:val="00025A0A"/>
    <w:rsid w:val="00030171"/>
    <w:rsid w:val="000307BA"/>
    <w:rsid w:val="00055737"/>
    <w:rsid w:val="000A245A"/>
    <w:rsid w:val="000B0393"/>
    <w:rsid w:val="0015290D"/>
    <w:rsid w:val="001658C8"/>
    <w:rsid w:val="00195AC7"/>
    <w:rsid w:val="001A4300"/>
    <w:rsid w:val="001A7CB4"/>
    <w:rsid w:val="001F1208"/>
    <w:rsid w:val="00200750"/>
    <w:rsid w:val="00207AC6"/>
    <w:rsid w:val="00236442"/>
    <w:rsid w:val="00240EE6"/>
    <w:rsid w:val="0025109E"/>
    <w:rsid w:val="00256E47"/>
    <w:rsid w:val="002A2B55"/>
    <w:rsid w:val="002B474A"/>
    <w:rsid w:val="002D6D7A"/>
    <w:rsid w:val="002F77DF"/>
    <w:rsid w:val="00351314"/>
    <w:rsid w:val="003574BC"/>
    <w:rsid w:val="00393E82"/>
    <w:rsid w:val="003C156E"/>
    <w:rsid w:val="003C35AE"/>
    <w:rsid w:val="003E76FD"/>
    <w:rsid w:val="003F6B43"/>
    <w:rsid w:val="0043302B"/>
    <w:rsid w:val="0046071A"/>
    <w:rsid w:val="004939FF"/>
    <w:rsid w:val="00495640"/>
    <w:rsid w:val="004B3344"/>
    <w:rsid w:val="004D3D82"/>
    <w:rsid w:val="004F392C"/>
    <w:rsid w:val="005155AA"/>
    <w:rsid w:val="00535EA3"/>
    <w:rsid w:val="0056293B"/>
    <w:rsid w:val="005E1FF3"/>
    <w:rsid w:val="0060037B"/>
    <w:rsid w:val="00615901"/>
    <w:rsid w:val="00627D6E"/>
    <w:rsid w:val="00627D74"/>
    <w:rsid w:val="0063670A"/>
    <w:rsid w:val="00671D62"/>
    <w:rsid w:val="00695C3A"/>
    <w:rsid w:val="00696BA7"/>
    <w:rsid w:val="006E0C68"/>
    <w:rsid w:val="0070049F"/>
    <w:rsid w:val="00715E62"/>
    <w:rsid w:val="00735CA9"/>
    <w:rsid w:val="00777FE8"/>
    <w:rsid w:val="007D7621"/>
    <w:rsid w:val="00846255"/>
    <w:rsid w:val="00850876"/>
    <w:rsid w:val="00884ACA"/>
    <w:rsid w:val="008D77AB"/>
    <w:rsid w:val="008E3EAA"/>
    <w:rsid w:val="0092334D"/>
    <w:rsid w:val="00950465"/>
    <w:rsid w:val="009A4F9E"/>
    <w:rsid w:val="009D787A"/>
    <w:rsid w:val="009E686C"/>
    <w:rsid w:val="009F6441"/>
    <w:rsid w:val="00A01E16"/>
    <w:rsid w:val="00A243E0"/>
    <w:rsid w:val="00A44DB3"/>
    <w:rsid w:val="00A56266"/>
    <w:rsid w:val="00A651DB"/>
    <w:rsid w:val="00AD2178"/>
    <w:rsid w:val="00AD2924"/>
    <w:rsid w:val="00B0066C"/>
    <w:rsid w:val="00B00C56"/>
    <w:rsid w:val="00B13466"/>
    <w:rsid w:val="00B80ACD"/>
    <w:rsid w:val="00B83E13"/>
    <w:rsid w:val="00BB3952"/>
    <w:rsid w:val="00C14841"/>
    <w:rsid w:val="00C4654F"/>
    <w:rsid w:val="00C4705B"/>
    <w:rsid w:val="00C54DE5"/>
    <w:rsid w:val="00C61C17"/>
    <w:rsid w:val="00C83A33"/>
    <w:rsid w:val="00C83E1D"/>
    <w:rsid w:val="00C91DA6"/>
    <w:rsid w:val="00CB560C"/>
    <w:rsid w:val="00D04D16"/>
    <w:rsid w:val="00D246C0"/>
    <w:rsid w:val="00D354C0"/>
    <w:rsid w:val="00D51F5D"/>
    <w:rsid w:val="00D775F4"/>
    <w:rsid w:val="00D8657B"/>
    <w:rsid w:val="00D95165"/>
    <w:rsid w:val="00DB40E0"/>
    <w:rsid w:val="00E22ABD"/>
    <w:rsid w:val="00E37E55"/>
    <w:rsid w:val="00E91F47"/>
    <w:rsid w:val="00ED5B69"/>
    <w:rsid w:val="00EE7DDB"/>
    <w:rsid w:val="00EF5CFA"/>
    <w:rsid w:val="00F133B8"/>
    <w:rsid w:val="00F22CFA"/>
    <w:rsid w:val="00F85219"/>
    <w:rsid w:val="00F85B5E"/>
    <w:rsid w:val="00FC54BE"/>
    <w:rsid w:val="00FD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33A9"/>
  <w15:chartTrackingRefBased/>
  <w15:docId w15:val="{C62342F6-84D2-4183-8E39-5D9B2904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65"/>
    <w:pPr>
      <w:spacing w:after="0" w:line="240" w:lineRule="auto"/>
    </w:pPr>
    <w:rPr>
      <w:rFonts w:ascii="Times New Roman" w:eastAsia="Times New Roman" w:hAnsi="Times New Roman" w:cs="Times New Roman"/>
      <w:sz w:val="24"/>
      <w:szCs w:val="24"/>
      <w:lang w:val="pt-PT" w:eastAsia="pt-PT"/>
    </w:rPr>
  </w:style>
  <w:style w:type="paragraph" w:styleId="Heading5">
    <w:name w:val="heading 5"/>
    <w:basedOn w:val="Normal"/>
    <w:next w:val="Normal"/>
    <w:link w:val="Heading5Char"/>
    <w:qFormat/>
    <w:rsid w:val="00ED5B69"/>
    <w:pPr>
      <w:keepNext/>
      <w:widowControl w:val="0"/>
      <w:suppressAutoHyphens/>
      <w:autoSpaceDE w:val="0"/>
      <w:spacing w:before="60" w:line="312" w:lineRule="auto"/>
      <w:jc w:val="center"/>
      <w:outlineLvl w:val="4"/>
    </w:pPr>
    <w:rPr>
      <w:rFonts w:ascii="Arial" w:hAnsi="Arial" w:cs="Arial"/>
      <w:b/>
      <w:bCs/>
      <w:kern w:val="1"/>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465"/>
    <w:pPr>
      <w:spacing w:after="0" w:line="240" w:lineRule="auto"/>
    </w:pPr>
    <w:rPr>
      <w:rFonts w:ascii="Times New Roman" w:eastAsia="Times New Roman" w:hAnsi="Times New Roman" w:cs="Times New Roman"/>
      <w:sz w:val="20"/>
      <w:szCs w:val="20"/>
      <w:lang w:val="pt-PT"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950465"/>
    <w:rPr>
      <w:sz w:val="20"/>
      <w:szCs w:val="20"/>
    </w:rPr>
  </w:style>
  <w:style w:type="character" w:customStyle="1" w:styleId="FootnoteTextChar">
    <w:name w:val="Footnote Text Char"/>
    <w:basedOn w:val="DefaultParagraphFont"/>
    <w:link w:val="FootnoteText"/>
    <w:semiHidden/>
    <w:rsid w:val="00950465"/>
    <w:rPr>
      <w:rFonts w:ascii="Times New Roman" w:eastAsia="Times New Roman" w:hAnsi="Times New Roman" w:cs="Times New Roman"/>
      <w:sz w:val="20"/>
      <w:szCs w:val="20"/>
      <w:lang w:val="pt-PT" w:eastAsia="pt-PT"/>
    </w:rPr>
  </w:style>
  <w:style w:type="character" w:styleId="FootnoteReference">
    <w:name w:val="footnote reference"/>
    <w:basedOn w:val="DefaultParagraphFont"/>
    <w:semiHidden/>
    <w:unhideWhenUsed/>
    <w:rsid w:val="00950465"/>
    <w:rPr>
      <w:vertAlign w:val="superscript"/>
    </w:rPr>
  </w:style>
  <w:style w:type="paragraph" w:styleId="ListParagraph">
    <w:name w:val="List Paragraph"/>
    <w:basedOn w:val="Normal"/>
    <w:uiPriority w:val="34"/>
    <w:qFormat/>
    <w:rsid w:val="0063670A"/>
    <w:pPr>
      <w:ind w:left="720"/>
      <w:contextualSpacing/>
    </w:pPr>
  </w:style>
  <w:style w:type="character" w:styleId="PlaceholderText">
    <w:name w:val="Placeholder Text"/>
    <w:basedOn w:val="DefaultParagraphFont"/>
    <w:uiPriority w:val="99"/>
    <w:semiHidden/>
    <w:rsid w:val="00E91F47"/>
    <w:rPr>
      <w:color w:val="808080"/>
    </w:rPr>
  </w:style>
  <w:style w:type="paragraph" w:styleId="Subtitle">
    <w:name w:val="Subtitle"/>
    <w:basedOn w:val="Normal"/>
    <w:next w:val="Normal"/>
    <w:link w:val="SubtitleChar"/>
    <w:qFormat/>
    <w:rsid w:val="00BB3952"/>
    <w:p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itleChar">
    <w:name w:val="Subtitle Char"/>
    <w:basedOn w:val="DefaultParagraphFont"/>
    <w:link w:val="Subtitle"/>
    <w:rsid w:val="00BB3952"/>
    <w:rPr>
      <w:rFonts w:asciiTheme="majorHAnsi" w:eastAsiaTheme="majorEastAsia" w:hAnsiTheme="majorHAnsi" w:cstheme="majorBidi"/>
      <w:i/>
      <w:iCs/>
      <w:color w:val="5B9BD5" w:themeColor="accent1"/>
      <w:spacing w:val="15"/>
      <w:sz w:val="24"/>
      <w:szCs w:val="24"/>
      <w:lang w:val="pt-PT"/>
    </w:rPr>
  </w:style>
  <w:style w:type="paragraph" w:styleId="Title">
    <w:name w:val="Title"/>
    <w:basedOn w:val="Normal"/>
    <w:next w:val="Subtitle"/>
    <w:link w:val="TitleChar"/>
    <w:qFormat/>
    <w:rsid w:val="00BB3952"/>
    <w:pPr>
      <w:suppressAutoHyphens/>
      <w:jc w:val="center"/>
    </w:pPr>
    <w:rPr>
      <w:b/>
      <w:bCs/>
      <w:kern w:val="2"/>
      <w:sz w:val="32"/>
      <w:lang w:eastAsia="ar-SA"/>
    </w:rPr>
  </w:style>
  <w:style w:type="character" w:customStyle="1" w:styleId="TitleChar">
    <w:name w:val="Title Char"/>
    <w:basedOn w:val="DefaultParagraphFont"/>
    <w:link w:val="Title"/>
    <w:rsid w:val="00BB3952"/>
    <w:rPr>
      <w:rFonts w:ascii="Times New Roman" w:eastAsia="Times New Roman" w:hAnsi="Times New Roman" w:cs="Times New Roman"/>
      <w:b/>
      <w:bCs/>
      <w:kern w:val="2"/>
      <w:sz w:val="32"/>
      <w:szCs w:val="24"/>
      <w:lang w:val="pt-PT" w:eastAsia="ar-SA"/>
    </w:rPr>
  </w:style>
  <w:style w:type="character" w:customStyle="1" w:styleId="Heading5Char">
    <w:name w:val="Heading 5 Char"/>
    <w:basedOn w:val="DefaultParagraphFont"/>
    <w:link w:val="Heading5"/>
    <w:rsid w:val="00ED5B69"/>
    <w:rPr>
      <w:rFonts w:ascii="Arial" w:eastAsia="Times New Roman" w:hAnsi="Arial" w:cs="Arial"/>
      <w:b/>
      <w:bCs/>
      <w:kern w:val="1"/>
      <w:sz w:val="20"/>
      <w:szCs w:val="20"/>
      <w:lang w:val="pt-PT" w:eastAsia="en-GB"/>
    </w:rPr>
  </w:style>
  <w:style w:type="paragraph" w:styleId="Header">
    <w:name w:val="header"/>
    <w:basedOn w:val="Normal"/>
    <w:link w:val="HeaderChar"/>
    <w:uiPriority w:val="99"/>
    <w:unhideWhenUsed/>
    <w:rsid w:val="00393E82"/>
    <w:pPr>
      <w:tabs>
        <w:tab w:val="center" w:pos="4252"/>
        <w:tab w:val="right" w:pos="8504"/>
      </w:tabs>
    </w:pPr>
  </w:style>
  <w:style w:type="character" w:customStyle="1" w:styleId="HeaderChar">
    <w:name w:val="Header Char"/>
    <w:basedOn w:val="DefaultParagraphFont"/>
    <w:link w:val="Header"/>
    <w:uiPriority w:val="99"/>
    <w:rsid w:val="00393E82"/>
    <w:rPr>
      <w:rFonts w:ascii="Times New Roman" w:eastAsia="Times New Roman" w:hAnsi="Times New Roman" w:cs="Times New Roman"/>
      <w:sz w:val="24"/>
      <w:szCs w:val="24"/>
      <w:lang w:val="pt-PT" w:eastAsia="pt-PT"/>
    </w:rPr>
  </w:style>
  <w:style w:type="paragraph" w:styleId="Footer">
    <w:name w:val="footer"/>
    <w:basedOn w:val="Normal"/>
    <w:link w:val="FooterChar"/>
    <w:uiPriority w:val="99"/>
    <w:unhideWhenUsed/>
    <w:rsid w:val="00393E82"/>
    <w:pPr>
      <w:tabs>
        <w:tab w:val="center" w:pos="4252"/>
        <w:tab w:val="right" w:pos="8504"/>
      </w:tabs>
    </w:pPr>
  </w:style>
  <w:style w:type="character" w:customStyle="1" w:styleId="FooterChar">
    <w:name w:val="Footer Char"/>
    <w:basedOn w:val="DefaultParagraphFont"/>
    <w:link w:val="Footer"/>
    <w:uiPriority w:val="99"/>
    <w:rsid w:val="00393E82"/>
    <w:rPr>
      <w:rFonts w:ascii="Times New Roman" w:eastAsia="Times New Roman" w:hAnsi="Times New Roman" w:cs="Times New Roman"/>
      <w:sz w:val="24"/>
      <w:szCs w:val="24"/>
      <w:lang w:val="pt-PT" w:eastAsia="pt-PT"/>
    </w:rPr>
  </w:style>
  <w:style w:type="paragraph" w:customStyle="1" w:styleId="Heading51">
    <w:name w:val="Heading 51"/>
    <w:basedOn w:val="Normal"/>
    <w:next w:val="Normal"/>
    <w:rsid w:val="00393E82"/>
    <w:pPr>
      <w:keepNext/>
      <w:suppressAutoHyphens/>
      <w:jc w:val="center"/>
    </w:pPr>
    <w:rPr>
      <w:rFonts w:ascii="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914">
      <w:bodyDiv w:val="1"/>
      <w:marLeft w:val="0"/>
      <w:marRight w:val="0"/>
      <w:marTop w:val="0"/>
      <w:marBottom w:val="0"/>
      <w:divBdr>
        <w:top w:val="none" w:sz="0" w:space="0" w:color="auto"/>
        <w:left w:val="none" w:sz="0" w:space="0" w:color="auto"/>
        <w:bottom w:val="none" w:sz="0" w:space="0" w:color="auto"/>
        <w:right w:val="none" w:sz="0" w:space="0" w:color="auto"/>
      </w:divBdr>
    </w:div>
    <w:div w:id="811294955">
      <w:bodyDiv w:val="1"/>
      <w:marLeft w:val="0"/>
      <w:marRight w:val="0"/>
      <w:marTop w:val="0"/>
      <w:marBottom w:val="0"/>
      <w:divBdr>
        <w:top w:val="none" w:sz="0" w:space="0" w:color="auto"/>
        <w:left w:val="none" w:sz="0" w:space="0" w:color="auto"/>
        <w:bottom w:val="none" w:sz="0" w:space="0" w:color="auto"/>
        <w:right w:val="none" w:sz="0" w:space="0" w:color="auto"/>
      </w:divBdr>
    </w:div>
    <w:div w:id="10972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8EA5-12BB-4A99-9C81-FDDEE3D4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445</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jduque</dc:creator>
  <cp:keywords/>
  <dc:description/>
  <cp:lastModifiedBy>Jorge Barros Luís</cp:lastModifiedBy>
  <cp:revision>3</cp:revision>
  <cp:lastPrinted>2017-01-03T00:23:00Z</cp:lastPrinted>
  <dcterms:created xsi:type="dcterms:W3CDTF">2021-02-03T12:25:00Z</dcterms:created>
  <dcterms:modified xsi:type="dcterms:W3CDTF">2021-02-03T12:49:00Z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27425e-59da-41ed-9745-ddd5173ab2f7_Enabled">
    <vt:lpwstr>True</vt:lpwstr>
  </property>
  <property fmtid="{D5CDD505-2E9C-101B-9397-08002B2CF9AE}" pid="3" name="MSIP_Label_f127425e-59da-41ed-9745-ddd5173ab2f7_SiteId">
    <vt:lpwstr>0f172980-1261-4323-ab7a-c89b472843d7</vt:lpwstr>
  </property>
  <property fmtid="{D5CDD505-2E9C-101B-9397-08002B2CF9AE}" pid="4" name="MSIP_Label_f127425e-59da-41ed-9745-ddd5173ab2f7_Owner">
    <vt:lpwstr>JJLuis@montepio.pt</vt:lpwstr>
  </property>
  <property fmtid="{D5CDD505-2E9C-101B-9397-08002B2CF9AE}" pid="5" name="MSIP_Label_f127425e-59da-41ed-9745-ddd5173ab2f7_SetDate">
    <vt:lpwstr>2020-09-03T10:29:30.9222736Z</vt:lpwstr>
  </property>
  <property fmtid="{D5CDD505-2E9C-101B-9397-08002B2CF9AE}" pid="6" name="MSIP_Label_f127425e-59da-41ed-9745-ddd5173ab2f7_Name">
    <vt:lpwstr>Publico</vt:lpwstr>
  </property>
  <property fmtid="{D5CDD505-2E9C-101B-9397-08002B2CF9AE}" pid="7" name="MSIP_Label_f127425e-59da-41ed-9745-ddd5173ab2f7_Application">
    <vt:lpwstr>Microsoft Azure Information Protection</vt:lpwstr>
  </property>
  <property fmtid="{D5CDD505-2E9C-101B-9397-08002B2CF9AE}" pid="8" name="MSIP_Label_f127425e-59da-41ed-9745-ddd5173ab2f7_ActionId">
    <vt:lpwstr>9ba94298-519b-4262-a5e6-deed9e2d258f</vt:lpwstr>
  </property>
  <property fmtid="{D5CDD505-2E9C-101B-9397-08002B2CF9AE}" pid="9" name="MSIP_Label_f127425e-59da-41ed-9745-ddd5173ab2f7_Extended_MSFT_Method">
    <vt:lpwstr>Automatic</vt:lpwstr>
  </property>
  <property fmtid="{D5CDD505-2E9C-101B-9397-08002B2CF9AE}" pid="10" name="Sensitivity">
    <vt:lpwstr>Publico</vt:lpwstr>
  </property>
</Properties>
</file>